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BC" w:rsidRDefault="00D82EBC" w:rsidP="00D82EBC">
      <w:pPr>
        <w:pStyle w:val="Heading2"/>
      </w:pPr>
      <w:bookmarkStart w:id="0" w:name="_GoBack"/>
      <w:bookmarkEnd w:id="0"/>
      <w:r>
        <w:t>Gambling Commission Candidate Information Sheet</w:t>
      </w:r>
    </w:p>
    <w:p w:rsidR="00D82EBC" w:rsidRDefault="00D82EBC" w:rsidP="00D82EBC">
      <w:pPr>
        <w:pStyle w:val="Heading3"/>
      </w:pPr>
      <w:r>
        <w:t>About the Gambling Commission</w:t>
      </w:r>
    </w:p>
    <w:p w:rsidR="00D82EBC" w:rsidRDefault="00D82EBC" w:rsidP="00D82EBC">
      <w:r>
        <w:t>The Gambling Commission (the Commission) was established under section 220 of the Gambling Act 2003 (the Act). The Commission is an independent decision-making body with the powers of a Commission of Inquiry.</w:t>
      </w:r>
    </w:p>
    <w:p w:rsidR="00D82EBC" w:rsidRDefault="00D82EBC" w:rsidP="00D82EBC">
      <w:r>
        <w:t>The Commission is a quasi-judicial body that hears and makes determinations about casino licensing applications, and appeals on licensing and enforcement decisions in relation to gaming machines.</w:t>
      </w:r>
    </w:p>
    <w:p w:rsidR="00D82EBC" w:rsidRDefault="00D82EBC" w:rsidP="00D82EBC">
      <w:r>
        <w:t>Five Commissioners, including the Chief Gambling Commissioner, are appointed by the Governor-General on the advice of the Minister of Internal Affairs. Terms are up to three years and Commissioners may be reappointed.</w:t>
      </w:r>
    </w:p>
    <w:p w:rsidR="00D82EBC" w:rsidRDefault="00D82EBC" w:rsidP="00D82EBC">
      <w:r>
        <w:t xml:space="preserve">The workload for Commissioners is generally around 25 days per annum. The daily rate for the Chief Gambling Commissioner and Commissioners are $750 and $475 respectively. They are reimbursed for actual and reasonable expenses. </w:t>
      </w:r>
    </w:p>
    <w:p w:rsidR="00D82EBC" w:rsidRDefault="00D82EBC" w:rsidP="00D82EBC">
      <w:pPr>
        <w:pStyle w:val="Heading3"/>
      </w:pPr>
      <w:r>
        <w:t>Functions of the Gambling Commission</w:t>
      </w:r>
    </w:p>
    <w:p w:rsidR="00D82EBC" w:rsidRDefault="00D82EBC" w:rsidP="00D82EBC">
      <w:pPr>
        <w:pStyle w:val="Numberedpara3level1"/>
        <w:numPr>
          <w:ilvl w:val="0"/>
          <w:numId w:val="0"/>
        </w:numPr>
        <w:ind w:left="567" w:hanging="567"/>
      </w:pPr>
      <w:r>
        <w:t>Key functions of the Commission, under section 224 of the Act are:</w:t>
      </w:r>
    </w:p>
    <w:p w:rsidR="00D82EBC" w:rsidRDefault="00D82EBC" w:rsidP="00D82EBC">
      <w:pPr>
        <w:pStyle w:val="Bullet"/>
        <w:ind w:left="360"/>
      </w:pPr>
      <w:r w:rsidRPr="00385D68">
        <w:t>specifying, varying and revoking casino licence conditions;</w:t>
      </w:r>
    </w:p>
    <w:p w:rsidR="00D82EBC" w:rsidRPr="00385D68" w:rsidRDefault="00D82EBC" w:rsidP="00D82EBC">
      <w:pPr>
        <w:pStyle w:val="Bullet"/>
        <w:ind w:left="360"/>
      </w:pPr>
      <w:r w:rsidRPr="00385D68">
        <w:t>determining appeals against regulatory and licensing decisions made by the Department of Internal Affairs (the Department) in relation to gaming machine operations and other gambling involving prizes of more than $5000;</w:t>
      </w:r>
    </w:p>
    <w:p w:rsidR="00D82EBC" w:rsidRPr="00385D68" w:rsidRDefault="00D82EBC" w:rsidP="00D82EBC">
      <w:pPr>
        <w:pStyle w:val="Bullet"/>
        <w:ind w:left="360"/>
      </w:pPr>
      <w:r w:rsidRPr="00385D68">
        <w:t>advising Ministers on the setting of the problem gambling levy;</w:t>
      </w:r>
    </w:p>
    <w:p w:rsidR="00D82EBC" w:rsidRPr="00385D68" w:rsidRDefault="00D82EBC" w:rsidP="00D82EBC">
      <w:pPr>
        <w:pStyle w:val="Bullet"/>
        <w:ind w:left="360"/>
      </w:pPr>
      <w:r w:rsidRPr="00385D68">
        <w:t>deciding on applications by the Secretary of Internal Affairs to suspend or cancel casino licences;</w:t>
      </w:r>
    </w:p>
    <w:p w:rsidR="00D82EBC" w:rsidRPr="00385D68" w:rsidRDefault="00D82EBC" w:rsidP="00D82EBC">
      <w:pPr>
        <w:pStyle w:val="Bullet"/>
        <w:ind w:left="360"/>
      </w:pPr>
      <w:r w:rsidRPr="00385D68">
        <w:t>determining applications for casino operators’ licences and the renewal of casino venue licences;</w:t>
      </w:r>
    </w:p>
    <w:p w:rsidR="00D82EBC" w:rsidRPr="00385D68" w:rsidRDefault="00D82EBC" w:rsidP="00D82EBC">
      <w:pPr>
        <w:pStyle w:val="Bullet"/>
        <w:ind w:left="360"/>
      </w:pPr>
      <w:r w:rsidRPr="00385D68">
        <w:t>approving agreements and changes to agreements between casino operators and casino venue licence holders;</w:t>
      </w:r>
    </w:p>
    <w:p w:rsidR="00D82EBC" w:rsidRPr="00385D68" w:rsidRDefault="00D82EBC" w:rsidP="00D82EBC">
      <w:pPr>
        <w:pStyle w:val="Bullet"/>
        <w:ind w:left="360"/>
      </w:pPr>
      <w:r w:rsidRPr="00385D68">
        <w:t>hearing complaints about the way the Department has handled complaints in relation to gambling activities;</w:t>
      </w:r>
      <w:r>
        <w:t xml:space="preserve"> and</w:t>
      </w:r>
    </w:p>
    <w:p w:rsidR="00D82EBC" w:rsidRPr="00385D68" w:rsidRDefault="00D82EBC" w:rsidP="00D82EBC">
      <w:pPr>
        <w:pStyle w:val="Bullet"/>
        <w:ind w:left="360"/>
      </w:pPr>
      <w:proofErr w:type="gramStart"/>
      <w:r w:rsidRPr="00385D68">
        <w:t>advising</w:t>
      </w:r>
      <w:proofErr w:type="gramEnd"/>
      <w:r w:rsidRPr="00385D68">
        <w:t xml:space="preserve"> the Minister of Internal Affairs on matters relating to the performance of the Commission’s functions and the administration of the Act.</w:t>
      </w:r>
    </w:p>
    <w:p w:rsidR="00D82EBC" w:rsidRDefault="00D82EBC" w:rsidP="00D82EBC">
      <w:pPr>
        <w:rPr>
          <w:rFonts w:cs="Arial"/>
          <w:b/>
          <w:bCs/>
          <w:color w:val="1F546B"/>
          <w:sz w:val="28"/>
          <w:szCs w:val="26"/>
        </w:rPr>
      </w:pPr>
      <w:r>
        <w:br w:type="page"/>
      </w:r>
    </w:p>
    <w:p w:rsidR="00D82EBC" w:rsidRDefault="00D82EBC" w:rsidP="00D82EBC">
      <w:pPr>
        <w:pStyle w:val="Heading3"/>
        <w:spacing w:before="0"/>
      </w:pPr>
      <w:r>
        <w:lastRenderedPageBreak/>
        <w:t>Skills and attributes required of a Gambling Commissioner</w:t>
      </w:r>
    </w:p>
    <w:p w:rsidR="00D82EBC" w:rsidRDefault="00D82EBC" w:rsidP="00D82EBC">
      <w:r>
        <w:t>Further to this, the skills and attributes sought from a Gambling Commissioner are:</w:t>
      </w:r>
    </w:p>
    <w:p w:rsidR="00D82EBC" w:rsidRDefault="00D82EBC" w:rsidP="00D82EBC">
      <w:pPr>
        <w:pStyle w:val="Bullet"/>
        <w:keepLines/>
        <w:ind w:left="360"/>
      </w:pPr>
      <w:r>
        <w:t>governance experience;</w:t>
      </w:r>
    </w:p>
    <w:p w:rsidR="00D82EBC" w:rsidRDefault="00D82EBC" w:rsidP="00D82EBC">
      <w:pPr>
        <w:pStyle w:val="Bullet"/>
        <w:keepLines/>
        <w:ind w:left="360"/>
      </w:pPr>
      <w:r>
        <w:t xml:space="preserve">knowledge and experience in management; </w:t>
      </w:r>
    </w:p>
    <w:p w:rsidR="00D82EBC" w:rsidRDefault="00D82EBC" w:rsidP="00D82EBC">
      <w:pPr>
        <w:pStyle w:val="Bullet"/>
        <w:keepLines/>
        <w:ind w:left="360"/>
      </w:pPr>
      <w:r>
        <w:t>business acumen;</w:t>
      </w:r>
    </w:p>
    <w:p w:rsidR="00D82EBC" w:rsidRDefault="00D82EBC" w:rsidP="00D82EBC">
      <w:pPr>
        <w:pStyle w:val="Bullet"/>
        <w:keepLines/>
        <w:ind w:left="360"/>
      </w:pPr>
      <w:r>
        <w:t>knowledge and experience in public health or social issues;</w:t>
      </w:r>
    </w:p>
    <w:p w:rsidR="00D82EBC" w:rsidRDefault="00D82EBC" w:rsidP="00D82EBC">
      <w:pPr>
        <w:pStyle w:val="Bullet"/>
        <w:keepLines/>
        <w:ind w:left="360"/>
      </w:pPr>
      <w:r>
        <w:t>previous knowledge and experience in the gambling sector and its regulation would be an advantage and</w:t>
      </w:r>
    </w:p>
    <w:p w:rsidR="00D82EBC" w:rsidRDefault="00D82EBC" w:rsidP="00D82EBC">
      <w:pPr>
        <w:pStyle w:val="Bullet"/>
        <w:keepLines/>
        <w:ind w:left="360"/>
      </w:pPr>
      <w:proofErr w:type="gramStart"/>
      <w:r>
        <w:t>specific</w:t>
      </w:r>
      <w:proofErr w:type="gramEnd"/>
      <w:r>
        <w:t xml:space="preserve"> experience in exercising an appeals jurisdiction would be an advantage.</w:t>
      </w:r>
    </w:p>
    <w:p w:rsidR="00D82EBC" w:rsidRDefault="00D82EBC" w:rsidP="00D82EBC">
      <w:pPr>
        <w:pStyle w:val="Heading3"/>
      </w:pPr>
      <w:r>
        <w:t>Nomination process</w:t>
      </w:r>
    </w:p>
    <w:p w:rsidR="00D82EBC" w:rsidRDefault="00D82EBC" w:rsidP="00D82EBC">
      <w:r>
        <w:t xml:space="preserve">Any person seeking appointment to the Commission should provide </w:t>
      </w:r>
      <w:proofErr w:type="gramStart"/>
      <w:r>
        <w:t>a full</w:t>
      </w:r>
      <w:proofErr w:type="gramEnd"/>
      <w:r>
        <w:t>, up-to-date curriculum vitae which details:</w:t>
      </w:r>
    </w:p>
    <w:p w:rsidR="00D82EBC" w:rsidRPr="00410DDD" w:rsidRDefault="00D82EBC" w:rsidP="00D82EBC">
      <w:pPr>
        <w:pStyle w:val="Bullet"/>
        <w:keepLines/>
        <w:ind w:left="360"/>
      </w:pPr>
      <w:r w:rsidRPr="00410DDD">
        <w:t>citizenship, if not New Zealand;</w:t>
      </w:r>
    </w:p>
    <w:p w:rsidR="00D82EBC" w:rsidRPr="00410DDD" w:rsidRDefault="00D82EBC" w:rsidP="00D82EBC">
      <w:pPr>
        <w:pStyle w:val="Bullet"/>
        <w:keepLines/>
        <w:ind w:left="360"/>
      </w:pPr>
      <w:r w:rsidRPr="00410DDD">
        <w:t xml:space="preserve">ethnicity, including iwi for </w:t>
      </w:r>
      <w:proofErr w:type="spellStart"/>
      <w:r w:rsidRPr="00410DDD">
        <w:t>tangata</w:t>
      </w:r>
      <w:proofErr w:type="spellEnd"/>
      <w:r w:rsidRPr="00410DDD">
        <w:t xml:space="preserve"> whenua;</w:t>
      </w:r>
    </w:p>
    <w:p w:rsidR="00D82EBC" w:rsidRPr="00410DDD" w:rsidRDefault="00D82EBC" w:rsidP="00D82EBC">
      <w:pPr>
        <w:pStyle w:val="Bullet"/>
        <w:keepLines/>
        <w:ind w:left="360"/>
      </w:pPr>
      <w:r w:rsidRPr="00410DDD">
        <w:t>any government board appointments held (current and previous, including years);</w:t>
      </w:r>
    </w:p>
    <w:p w:rsidR="00D82EBC" w:rsidRPr="00410DDD" w:rsidRDefault="00D82EBC" w:rsidP="00D82EBC">
      <w:pPr>
        <w:pStyle w:val="Bullet"/>
        <w:keepLines/>
        <w:ind w:left="360"/>
      </w:pPr>
      <w:r w:rsidRPr="00410DDD">
        <w:t>any private and/or voluntary sector board appointments</w:t>
      </w:r>
      <w:r>
        <w:t xml:space="preserve"> or positions</w:t>
      </w:r>
      <w:r w:rsidRPr="00410DDD">
        <w:t xml:space="preserve"> held (current and previous, including years);</w:t>
      </w:r>
    </w:p>
    <w:p w:rsidR="00D82EBC" w:rsidRPr="00410DDD" w:rsidRDefault="00D82EBC" w:rsidP="00D82EBC">
      <w:pPr>
        <w:pStyle w:val="Bullet"/>
        <w:keepLines/>
        <w:ind w:left="360"/>
      </w:pPr>
      <w:r w:rsidRPr="00410DDD">
        <w:t>qualifications; and</w:t>
      </w:r>
    </w:p>
    <w:p w:rsidR="00D82EBC" w:rsidRPr="00410DDD" w:rsidRDefault="00D82EBC" w:rsidP="00D82EBC">
      <w:pPr>
        <w:pStyle w:val="Bullet"/>
        <w:keepLines/>
        <w:ind w:left="360"/>
      </w:pPr>
      <w:proofErr w:type="gramStart"/>
      <w:r w:rsidRPr="00410DDD">
        <w:t>significant</w:t>
      </w:r>
      <w:proofErr w:type="gramEnd"/>
      <w:r w:rsidRPr="00410DDD">
        <w:t xml:space="preserve"> work history and </w:t>
      </w:r>
      <w:r>
        <w:t>community involvement</w:t>
      </w:r>
      <w:r w:rsidRPr="00410DDD">
        <w:t>.</w:t>
      </w:r>
    </w:p>
    <w:p w:rsidR="00D82EBC" w:rsidRDefault="00D82EBC" w:rsidP="00D82EBC">
      <w:pPr>
        <w:pStyle w:val="Heading3"/>
      </w:pPr>
      <w:r>
        <w:t>Conflicts of interest, and financial and personal probity</w:t>
      </w:r>
    </w:p>
    <w:p w:rsidR="00D82EBC" w:rsidRDefault="00D82EBC" w:rsidP="00D82EBC">
      <w:r>
        <w:t xml:space="preserve">Applicants will be asked to declare any actual, potential or perceived conflict of </w:t>
      </w:r>
      <w:proofErr w:type="gramStart"/>
      <w:r>
        <w:t>interest,</w:t>
      </w:r>
      <w:proofErr w:type="gramEnd"/>
      <w:r>
        <w:t xml:space="preserve"> or any other matter relevant to their suitability for appointment. Applicants will also be asked to confirm their personal and financial probity. The Department of Internal Affairs may check the accuracy of any information relating to an application for appointment. </w:t>
      </w:r>
    </w:p>
    <w:p w:rsidR="00D82EBC" w:rsidRDefault="00D82EBC" w:rsidP="00D82EBC">
      <w:pPr>
        <w:pStyle w:val="Heading3"/>
      </w:pPr>
      <w:r>
        <w:t>Next steps</w:t>
      </w:r>
    </w:p>
    <w:p w:rsidR="00D82EBC" w:rsidRDefault="00D82EBC" w:rsidP="00D82EBC">
      <w:r>
        <w:t xml:space="preserve">Nominations should be emailed </w:t>
      </w:r>
      <w:r w:rsidRPr="00EA4FE5">
        <w:rPr>
          <w:rFonts w:cs="Calibri"/>
        </w:rPr>
        <w:t xml:space="preserve">to </w:t>
      </w:r>
      <w:hyperlink r:id="rId9" w:history="1">
        <w:r w:rsidRPr="00EA4FE5">
          <w:rPr>
            <w:rStyle w:val="Hyperlink"/>
            <w:rFonts w:cs="Calibri"/>
          </w:rPr>
          <w:t>jason.hewett@parliament.govt.nz</w:t>
        </w:r>
      </w:hyperlink>
      <w:r>
        <w:t xml:space="preserve"> for consideration by the Minister. All nominations must be received by </w:t>
      </w:r>
      <w:r>
        <w:rPr>
          <w:b/>
        </w:rPr>
        <w:t>Friday 7 September 2018</w:t>
      </w:r>
      <w:r>
        <w:t>.</w:t>
      </w:r>
    </w:p>
    <w:p w:rsidR="00D82EBC" w:rsidRPr="008A7674" w:rsidRDefault="00D82EBC" w:rsidP="00D82EBC">
      <w:r>
        <w:t>Please note that nominations do not necessarily result in the appointment of a particular person.</w:t>
      </w:r>
    </w:p>
    <w:p w:rsidR="00D82EBC" w:rsidRDefault="00D82EBC" w:rsidP="00D82EBC">
      <w:pPr>
        <w:pStyle w:val="Numberedpara3level1"/>
        <w:numPr>
          <w:ilvl w:val="0"/>
          <w:numId w:val="0"/>
        </w:numPr>
      </w:pPr>
    </w:p>
    <w:p w:rsidR="00AE478C" w:rsidRPr="00603635" w:rsidRDefault="00AE478C" w:rsidP="00603635"/>
    <w:sectPr w:rsidR="00AE478C" w:rsidRPr="00603635" w:rsidSect="00CF4BE3">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BC" w:rsidRDefault="00D82EBC">
      <w:r>
        <w:separator/>
      </w:r>
    </w:p>
    <w:p w:rsidR="00D82EBC" w:rsidRDefault="00D82EBC"/>
    <w:p w:rsidR="00D82EBC" w:rsidRDefault="00D82EBC"/>
  </w:endnote>
  <w:endnote w:type="continuationSeparator" w:id="0">
    <w:p w:rsidR="00D82EBC" w:rsidRDefault="00D82EBC">
      <w:r>
        <w:continuationSeparator/>
      </w:r>
    </w:p>
    <w:p w:rsidR="00D82EBC" w:rsidRDefault="00D82EBC"/>
    <w:p w:rsidR="00D82EBC" w:rsidRDefault="00D82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20B0802040204020203"/>
    <w:charset w:val="00"/>
    <w:family w:val="auto"/>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416D8E">
      <w:rPr>
        <w:noProof/>
      </w:rPr>
      <w:t>1</w:t>
    </w:r>
    <w:r>
      <w:fldChar w:fldCharType="end"/>
    </w:r>
    <w:r>
      <w:t xml:space="preserve"> of </w:t>
    </w:r>
    <w:fldSimple w:instr=" NUMPAGES   \* MERGEFORMAT ">
      <w:r w:rsidR="00416D8E">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BC" w:rsidRDefault="00D82EBC" w:rsidP="00FB1990">
      <w:pPr>
        <w:pStyle w:val="Spacer"/>
      </w:pPr>
      <w:r>
        <w:separator/>
      </w:r>
    </w:p>
    <w:p w:rsidR="00D82EBC" w:rsidRDefault="00D82EBC" w:rsidP="00FB1990">
      <w:pPr>
        <w:pStyle w:val="Spacer"/>
      </w:pPr>
    </w:p>
  </w:footnote>
  <w:footnote w:type="continuationSeparator" w:id="0">
    <w:p w:rsidR="00D82EBC" w:rsidRDefault="00D82EBC">
      <w:r>
        <w:continuationSeparator/>
      </w:r>
    </w:p>
    <w:p w:rsidR="00D82EBC" w:rsidRDefault="00D82EBC"/>
    <w:p w:rsidR="00D82EBC" w:rsidRDefault="00D82E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Pr="00591BDC" w:rsidRDefault="00677F8A" w:rsidP="0059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Default="00677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BC"/>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16D8E"/>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82EBC"/>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1FCB"/>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D82EBC"/>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D82EBC"/>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son.hewett@parliament.govt.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264A1-1A60-4501-A093-041BA937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3117</Characters>
  <Application>Microsoft Office Word</Application>
  <DocSecurity>4</DocSecurity>
  <Lines>63</Lines>
  <Paragraphs>43</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Maddever</dc:creator>
  <cp:lastModifiedBy>Tim Bollinger</cp:lastModifiedBy>
  <cp:revision>2</cp:revision>
  <cp:lastPrinted>2014-03-27T01:47:00Z</cp:lastPrinted>
  <dcterms:created xsi:type="dcterms:W3CDTF">2018-08-27T04:19:00Z</dcterms:created>
  <dcterms:modified xsi:type="dcterms:W3CDTF">2018-08-27T04:19:00Z</dcterms:modified>
</cp:coreProperties>
</file>